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002052"/>
          <w:sz w:val="34"/>
          <w:szCs w:val="34"/>
        </w:rPr>
        <w:t xml:space="preserve">JUURISYYANALYYSI</w:t>
      </w:r>
    </w:p>
    <w:p>
      <w:pPr>
        <w:pBdr>
          <w:bottom w:val="single" w:color="002052" w:sz="8" w:space="4"/>
        </w:pBdr>
        <w:spacing w:after="200"/>
      </w:pPr>
      <w:r>
        <w:rPr>
          <w:rFonts w:ascii="Arial" w:cs="Arial" w:eastAsia="Arial" w:hAnsi="Arial"/>
          <w:color w:val="5B6B82"/>
          <w:sz w:val="17"/>
          <w:szCs w:val="17"/>
        </w:rPr>
        <w:t xml:space="preserve">Kalanruoto kerää mahdolliset syyt, tarkistus karsii ne, ja 5 x miksi vie vahvistuneen syyn juurisyyhyn. Tee analyysi porukalla.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1. Ongelma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Poikkeama / raportin nro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Mitä, missä, milloin, kuinka paljon?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Esim. "maali irtoaa ristikkoviiltotestissä, 3 erää 2 viikossa, kaikki pesulinjan kautta"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Osallistujat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Nimet ja roolit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2600"/>
        <w:gridCol w:w="2600"/>
        <w:gridCol w:w="2106"/>
      </w:tblGrid>
      <w:t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2. Kalanruotokaavio: mahdolliset syyt</w:t>
            </w:r>
          </w:p>
        </w:tc>
      </w:tr>
      <w:tr>
        <w:tc>
          <w:tcPr>
            <w:tcW w:type="dxa" w:w="2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2052"/>
                <w:sz w:val="19"/>
                <w:szCs w:val="19"/>
              </w:rPr>
              <w:t xml:space="preserve">Ihminen</w:t>
            </w:r>
          </w:p>
        </w:tc>
        <w:tc>
          <w:tcPr>
            <w:tcW w:type="dxa" w:w="2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2052"/>
                <w:sz w:val="19"/>
                <w:szCs w:val="19"/>
              </w:rPr>
              <w:t xml:space="preserve">Menetelmä</w:t>
            </w:r>
          </w:p>
        </w:tc>
        <w:tc>
          <w:tcPr>
            <w:tcW w:type="dxa" w:w="2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2052"/>
                <w:sz w:val="19"/>
                <w:szCs w:val="19"/>
              </w:rPr>
              <w:t xml:space="preserve">Kone</w:t>
            </w:r>
          </w:p>
        </w:tc>
        <w:tc>
          <w:tcPr>
            <w:tcW w:type="dxa" w:w="2106"/>
            <w:tcBorders>
              <w:top w:val="none" w:color="FFFFFF" w:sz="0"/>
              <w:left w:val="single" w:color="C3D1E6" w:sz="4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2300" w:hRule="atLeast"/>
        </w:trPr>
        <w:tc>
          <w:tcPr>
            <w:tcW w:type="dxa" w:w="2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Osaaminen, perehdytys, kiire, vuoro</w:t>
            </w:r>
          </w:p>
        </w:tc>
        <w:tc>
          <w:tcPr>
            <w:tcW w:type="dxa" w:w="2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Työohje, työvaiheiden järjestys, asetukset</w:t>
            </w:r>
          </w:p>
        </w:tc>
        <w:tc>
          <w:tcPr>
            <w:tcW w:type="dxa" w:w="2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Laitteen kunto, säädöt, kuluvat osat</w:t>
            </w:r>
          </w:p>
        </w:tc>
        <w:tc>
          <w:tcPr>
            <w:tcW w:type="dxa" w:w="2106"/>
            <w:tcBorders>
              <w:top w:val="none" w:color="FFFFFF" w:sz="0"/>
              <w:left w:val="single" w:color="C3D1E6" w:sz="4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7800"/>
            <w:gridSpan w:val="3"/>
            <w:tcBorders>
              <w:top w:val="single" w:color="C3D1E6" w:sz="4"/>
              <w:left w:val="single" w:color="C3D1E6" w:sz="4"/>
              <w:bottom w:val="single" w:color="C3D1E6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pBdr>
                <w:bottom w:val="single" w:color="002052" w:sz="24" w:space="1"/>
              </w:pBd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syyt  →</w:t>
            </w:r>
          </w:p>
        </w:tc>
        <w:tc>
          <w:tcPr>
            <w:tcW w:type="dxa" w:w="2106"/>
            <w:tcBorders>
              <w:top w:val="single" w:color="002052" w:sz="8"/>
              <w:left w:val="single" w:color="002052" w:sz="8"/>
              <w:bottom w:val="single" w:color="002052" w:sz="8"/>
              <w:right w:val="single" w:color="002052" w:sz="8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ONGELMA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9"/>
                <w:szCs w:val="19"/>
              </w:rPr>
              <w:t xml:space="preserve"> </w:t>
            </w:r>
          </w:p>
        </w:tc>
      </w:tr>
      <w:tr>
        <w:trPr>
          <w:trHeight w:val="2300" w:hRule="atLeast"/>
        </w:trPr>
        <w:tc>
          <w:tcPr>
            <w:tcW w:type="dxa" w:w="2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Raaka-aine, toimittaja, erä</w:t>
            </w:r>
          </w:p>
        </w:tc>
        <w:tc>
          <w:tcPr>
            <w:tcW w:type="dxa" w:w="2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Mittalaite, kalibrointi, mittaustapa</w:t>
            </w:r>
          </w:p>
        </w:tc>
        <w:tc>
          <w:tcPr>
            <w:tcW w:type="dxa" w:w="2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Lämpötila, kosteus, pöly, valaistus</w:t>
            </w:r>
          </w:p>
        </w:tc>
        <w:tc>
          <w:tcPr>
            <w:tcW w:type="dxa" w:w="2106"/>
            <w:tcBorders>
              <w:top w:val="none" w:color="FFFFFF" w:sz="0"/>
              <w:left w:val="single" w:color="C3D1E6" w:sz="4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2052"/>
                <w:sz w:val="19"/>
                <w:szCs w:val="19"/>
              </w:rPr>
              <w:t xml:space="preserve">Materiaali</w:t>
            </w:r>
          </w:p>
        </w:tc>
        <w:tc>
          <w:tcPr>
            <w:tcW w:type="dxa" w:w="2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2052"/>
                <w:sz w:val="19"/>
                <w:szCs w:val="19"/>
              </w:rPr>
              <w:t xml:space="preserve">Mittaus</w:t>
            </w:r>
          </w:p>
        </w:tc>
        <w:tc>
          <w:tcPr>
            <w:tcW w:type="dxa" w:w="26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2052"/>
                <w:sz w:val="19"/>
                <w:szCs w:val="19"/>
              </w:rPr>
              <w:t xml:space="preserve">Ympäristö</w:t>
            </w:r>
          </w:p>
        </w:tc>
        <w:tc>
          <w:tcPr>
            <w:tcW w:type="dxa" w:w="2106"/>
            <w:tcBorders>
              <w:top w:val="none" w:color="FFFFFF" w:sz="0"/>
              <w:left w:val="single" w:color="C3D1E6" w:sz="4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60"/>
      </w:pPr>
      <w:r>
        <w:rPr>
          <w:rFonts w:ascii="Arial" w:cs="Arial" w:eastAsia="Arial" w:hAnsi="Arial"/>
          <w:i/>
          <w:iCs/>
          <w:color w:val="5B6B82"/>
          <w:sz w:val="15"/>
          <w:szCs w:val="15"/>
        </w:rPr>
        <w:t xml:space="preserve">Kirjaa kaikki ehdotukset, myös epätodennäköiset. Karsinta tehdään vasta seuraavassa vaiheessa näytön perusteella. Kirjoita ongelma lyhyesti tummaan ruutuun.</w:t>
      </w:r>
    </w:p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2400"/>
        <w:gridCol w:w="3206"/>
        <w:gridCol w:w="2800"/>
      </w:tblGrid>
      <w:t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3. Syiden tarkistus</w:t>
            </w:r>
          </w:p>
        </w:tc>
      </w:tr>
      <w:tr>
        <w:tc>
          <w:tcPr>
            <w:tcW w:type="dxa" w:w="15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Syyryhmä</w:t>
            </w:r>
          </w:p>
        </w:tc>
        <w:tc>
          <w:tcPr>
            <w:tcW w:type="dxa" w:w="2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Mahdollinen syy</w:t>
            </w:r>
          </w:p>
        </w:tc>
        <w:tc>
          <w:tcPr>
            <w:tcW w:type="dxa" w:w="3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Miten tarkistettiin</w:t>
            </w:r>
          </w:p>
        </w:tc>
        <w:tc>
          <w:tcPr>
            <w:tcW w:type="dxa" w:w="2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Tulos</w:t>
            </w:r>
          </w:p>
        </w:tc>
      </w:tr>
      <w:tr>
        <w:trPr>
          <w:trHeight w:val="480" w:hRule="atLeast"/>
        </w:trPr>
        <w:tc>
          <w:tcPr>
            <w:tcW w:type="dxa" w:w="15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Vahvistui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Pois</w:t>
            </w:r>
          </w:p>
        </w:tc>
      </w:tr>
      <w:tr>
        <w:trPr>
          <w:trHeight w:val="480" w:hRule="atLeast"/>
        </w:trPr>
        <w:tc>
          <w:tcPr>
            <w:tcW w:type="dxa" w:w="15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Vahvistui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Pois</w:t>
            </w:r>
          </w:p>
        </w:tc>
      </w:tr>
      <w:tr>
        <w:trPr>
          <w:trHeight w:val="480" w:hRule="atLeast"/>
        </w:trPr>
        <w:tc>
          <w:tcPr>
            <w:tcW w:type="dxa" w:w="15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Vahvistui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Pois</w:t>
            </w:r>
          </w:p>
        </w:tc>
      </w:tr>
      <w:tr>
        <w:trPr>
          <w:trHeight w:val="480" w:hRule="atLeast"/>
        </w:trPr>
        <w:tc>
          <w:tcPr>
            <w:tcW w:type="dxa" w:w="15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Vahvistui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Pois</w:t>
            </w:r>
          </w:p>
        </w:tc>
      </w:tr>
      <w:tr>
        <w:trPr>
          <w:trHeight w:val="480" w:hRule="atLeast"/>
        </w:trPr>
        <w:tc>
          <w:tcPr>
            <w:tcW w:type="dxa" w:w="15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Vahvistui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Pois</w:t>
            </w:r>
          </w:p>
        </w:tc>
      </w:tr>
      <w:tr>
        <w:trPr>
          <w:trHeight w:val="480" w:hRule="atLeast"/>
        </w:trPr>
        <w:tc>
          <w:tcPr>
            <w:tcW w:type="dxa" w:w="15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Vahvistui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Pois</w:t>
            </w:r>
          </w:p>
        </w:tc>
      </w:tr>
      <w:tr>
        <w:trPr>
          <w:trHeight w:val="480" w:hRule="atLeast"/>
        </w:trPr>
        <w:tc>
          <w:tcPr>
            <w:tcW w:type="dxa" w:w="15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Vahvistui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Pois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4. 5 x miksi</w:t>
            </w:r>
          </w:p>
        </w:tc>
      </w:tr>
      <w:tr>
        <w:trPr>
          <w:trHeight w:val="4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1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vahvistunut syy tapahtui?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2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edellinen tapahtui?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3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edellinen tapahtui?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4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edellinen tapahtui?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5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edellinen tapahtui?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Juurisyy yhdellä lauseella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Koskee ohjetta, menetelmää, laitetta tai materiaalia, ei ihmistä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Ketju luettu takaperin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"Koska ..., joten ..., joten ..." Ontuuko jokin kohta?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Ketju pitää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06"/>
        <w:gridCol w:w="2200"/>
        <w:gridCol w:w="1700"/>
        <w:gridCol w:w="1700"/>
      </w:tblGrid>
      <w:t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5. Toimenpiteet juurisyyhyn</w:t>
            </w:r>
          </w:p>
        </w:tc>
      </w:tr>
      <w:tr>
        <w:tc>
          <w:tcPr>
            <w:tcW w:type="dxa" w:w="4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Toimenpide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Vastuuhenkilö</w:t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Määräaika</w:t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Tehty (pvm)</w:t>
            </w:r>
          </w:p>
        </w:tc>
      </w:tr>
      <w:tr>
        <w:trPr>
          <w:trHeight w:val="480" w:hRule="atLeast"/>
        </w:trPr>
        <w:tc>
          <w:tcPr>
            <w:tcW w:type="dxa" w:w="4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Korjaava: poistaa juurisyyn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Ehkäisevä: estää saman muualla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Tehokkuuden varmistus: miten ja milloin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5B6B82"/>
        <w:sz w:val="15"/>
        <w:szCs w:val="15"/>
      </w:rPr>
      <w:t xml:space="preserve">Pohja: Tehdasapuri, tehdasapuri.fi/oppaat/juurisyyanalyysi</w:t>
    </w:r>
    <w:r>
      <w:rPr>
        <w:rFonts w:ascii="Arial" w:cs="Arial" w:eastAsia="Arial" w:hAnsi="Arial"/>
        <w:color w:val="5B6B82"/>
        <w:sz w:val="15"/>
        <w:szCs w:val="15"/>
      </w:rPr>
      <w:t xml:space="preserve">   |   Vapaasti käytettävissä ja muokattavissa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Juurisyyanalyysi, pohja</dc:title>
  <dc:creator>Tehdasapuri</dc:creator>
  <dc:description>Juurisyyanalyysin pohja: kalanruotokaavio, syiden tarkistus ja 5 x miksi. Tehdasapuri, tehdasapuri.fi</dc:description>
  <cp:lastModifiedBy>Un-named</cp:lastModifiedBy>
  <cp:revision>1</cp:revision>
  <dcterms:created xsi:type="dcterms:W3CDTF">2026-10-11T07:10:27.060Z</dcterms:created>
  <dcterms:modified xsi:type="dcterms:W3CDTF">2026-10-11T07:10:27.061Z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